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5A0" w:rsidRDefault="00245E87" w:rsidP="00E109DD">
      <w:pPr>
        <w:jc w:val="center"/>
        <w:rPr>
          <w:rFonts w:ascii="仿宋_GB2312" w:eastAsia="仿宋_GB2312"/>
          <w:b/>
          <w:sz w:val="32"/>
          <w:szCs w:val="32"/>
        </w:rPr>
      </w:pPr>
      <w:proofErr w:type="gramStart"/>
      <w:r w:rsidRPr="00100926">
        <w:rPr>
          <w:rFonts w:ascii="仿宋_GB2312" w:eastAsia="仿宋_GB2312" w:hint="eastAsia"/>
          <w:b/>
          <w:sz w:val="32"/>
          <w:szCs w:val="32"/>
        </w:rPr>
        <w:t>上港集团</w:t>
      </w:r>
      <w:proofErr w:type="gramEnd"/>
      <w:r w:rsidRPr="00100926">
        <w:rPr>
          <w:rFonts w:ascii="仿宋_GB2312" w:eastAsia="仿宋_GB2312" w:hint="eastAsia"/>
          <w:b/>
          <w:sz w:val="32"/>
          <w:szCs w:val="32"/>
        </w:rPr>
        <w:t>罗</w:t>
      </w:r>
      <w:proofErr w:type="gramStart"/>
      <w:r w:rsidRPr="00100926">
        <w:rPr>
          <w:rFonts w:ascii="仿宋_GB2312" w:eastAsia="仿宋_GB2312" w:hint="eastAsia"/>
          <w:b/>
          <w:sz w:val="32"/>
          <w:szCs w:val="32"/>
        </w:rPr>
        <w:t>泾</w:t>
      </w:r>
      <w:proofErr w:type="gramEnd"/>
      <w:r w:rsidRPr="00100926">
        <w:rPr>
          <w:rFonts w:ascii="仿宋_GB2312" w:eastAsia="仿宋_GB2312" w:hint="eastAsia"/>
          <w:b/>
          <w:sz w:val="32"/>
          <w:szCs w:val="32"/>
        </w:rPr>
        <w:t>分公司出口货物</w:t>
      </w:r>
      <w:r w:rsidR="002B2482">
        <w:rPr>
          <w:rFonts w:ascii="仿宋_GB2312" w:eastAsia="仿宋_GB2312" w:hint="eastAsia"/>
          <w:b/>
          <w:sz w:val="32"/>
          <w:szCs w:val="32"/>
        </w:rPr>
        <w:t>费率</w:t>
      </w:r>
      <w:r w:rsidR="00E152D0">
        <w:rPr>
          <w:rFonts w:ascii="仿宋_GB2312" w:eastAsia="仿宋_GB2312" w:hint="eastAsia"/>
          <w:b/>
          <w:sz w:val="32"/>
          <w:szCs w:val="32"/>
        </w:rPr>
        <w:t>及</w:t>
      </w:r>
      <w:r w:rsidRPr="00100926">
        <w:rPr>
          <w:rFonts w:ascii="仿宋_GB2312" w:eastAsia="仿宋_GB2312" w:hint="eastAsia"/>
          <w:b/>
          <w:sz w:val="32"/>
          <w:szCs w:val="32"/>
        </w:rPr>
        <w:t>费用确认书</w:t>
      </w:r>
    </w:p>
    <w:p w:rsidR="004735A0" w:rsidRPr="00A36B0B" w:rsidRDefault="004735A0" w:rsidP="004735A0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下载地址：</w:t>
      </w:r>
      <w:r w:rsidRPr="004735A0">
        <w:rPr>
          <w:rFonts w:ascii="仿宋_GB2312" w:eastAsia="仿宋_GB2312" w:hint="eastAsia"/>
          <w:b/>
          <w:sz w:val="24"/>
        </w:rPr>
        <w:t>www.sipglg.com</w:t>
      </w: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1023"/>
        <w:gridCol w:w="746"/>
        <w:gridCol w:w="1369"/>
        <w:gridCol w:w="840"/>
        <w:gridCol w:w="1298"/>
        <w:gridCol w:w="1940"/>
        <w:gridCol w:w="1463"/>
      </w:tblGrid>
      <w:tr w:rsidR="00245E87" w:rsidRPr="00320530" w:rsidTr="00D06EC3">
        <w:trPr>
          <w:trHeight w:val="567"/>
          <w:jc w:val="center"/>
        </w:trPr>
        <w:tc>
          <w:tcPr>
            <w:tcW w:w="5237" w:type="dxa"/>
            <w:gridSpan w:val="4"/>
            <w:vAlign w:val="center"/>
          </w:tcPr>
          <w:p w:rsidR="00245E87" w:rsidRPr="00F076B0" w:rsidRDefault="00245E87" w:rsidP="00443E3D">
            <w:pPr>
              <w:rPr>
                <w:rFonts w:ascii="仿宋_GB2312" w:eastAsia="仿宋_GB2312"/>
                <w:sz w:val="24"/>
                <w:lang w:val="pt-BR"/>
              </w:rPr>
            </w:pPr>
            <w:r w:rsidRPr="00320530">
              <w:rPr>
                <w:rFonts w:ascii="仿宋_GB2312" w:eastAsia="仿宋_GB2312" w:hint="eastAsia"/>
                <w:sz w:val="24"/>
              </w:rPr>
              <w:t>船名</w:t>
            </w:r>
            <w:r w:rsidR="00C9339C">
              <w:rPr>
                <w:rFonts w:ascii="仿宋_GB2312" w:eastAsia="仿宋_GB2312" w:hint="eastAsia"/>
                <w:sz w:val="24"/>
                <w:lang w:val="pt-BR"/>
              </w:rPr>
              <w:t>：</w:t>
            </w:r>
          </w:p>
        </w:tc>
        <w:tc>
          <w:tcPr>
            <w:tcW w:w="5541" w:type="dxa"/>
            <w:gridSpan w:val="4"/>
            <w:vAlign w:val="center"/>
          </w:tcPr>
          <w:p w:rsidR="00245E87" w:rsidRPr="00320530" w:rsidRDefault="00245E87" w:rsidP="00264BCB">
            <w:pPr>
              <w:rPr>
                <w:rFonts w:ascii="仿宋_GB2312" w:eastAsia="仿宋_GB2312"/>
                <w:sz w:val="24"/>
              </w:rPr>
            </w:pPr>
            <w:r w:rsidRPr="00320530">
              <w:rPr>
                <w:rFonts w:ascii="仿宋_GB2312" w:eastAsia="仿宋_GB2312" w:hint="eastAsia"/>
                <w:sz w:val="24"/>
              </w:rPr>
              <w:t>航次：</w:t>
            </w:r>
          </w:p>
        </w:tc>
      </w:tr>
      <w:tr w:rsidR="002B2482" w:rsidRPr="00320530">
        <w:trPr>
          <w:trHeight w:val="567"/>
          <w:jc w:val="center"/>
        </w:trPr>
        <w:tc>
          <w:tcPr>
            <w:tcW w:w="10778" w:type="dxa"/>
            <w:gridSpan w:val="8"/>
            <w:vAlign w:val="center"/>
          </w:tcPr>
          <w:p w:rsidR="002B2482" w:rsidRPr="002B2482" w:rsidRDefault="002B2482" w:rsidP="00443E3D">
            <w:pPr>
              <w:rPr>
                <w:rFonts w:ascii="仿宋_GB2312" w:eastAsia="仿宋_GB2312"/>
                <w:b/>
                <w:sz w:val="24"/>
              </w:rPr>
            </w:pPr>
            <w:r w:rsidRPr="002B2482">
              <w:rPr>
                <w:rFonts w:ascii="仿宋_GB2312" w:eastAsia="仿宋_GB2312" w:hAnsi="宋体" w:hint="eastAsia"/>
                <w:b/>
                <w:sz w:val="24"/>
              </w:rPr>
              <w:t>委托方（甲方）</w:t>
            </w:r>
            <w:r w:rsidRPr="002B2482">
              <w:rPr>
                <w:rFonts w:ascii="仿宋_GB2312" w:eastAsia="仿宋_GB2312" w:hint="eastAsia"/>
                <w:b/>
                <w:sz w:val="24"/>
              </w:rPr>
              <w:t>—货运代理/付款人：</w:t>
            </w:r>
            <w:r w:rsidR="00443E3D">
              <w:rPr>
                <w:rFonts w:ascii="仿宋_GB2312" w:eastAsia="仿宋_GB2312" w:hint="eastAsia"/>
                <w:b/>
                <w:sz w:val="24"/>
              </w:rPr>
              <w:t xml:space="preserve">                           </w:t>
            </w:r>
            <w:r w:rsidR="006616D5">
              <w:rPr>
                <w:rFonts w:ascii="仿宋_GB2312" w:eastAsia="仿宋_GB2312" w:hint="eastAsia"/>
                <w:b/>
                <w:sz w:val="24"/>
              </w:rPr>
              <w:t>（客户代码：）</w:t>
            </w:r>
          </w:p>
        </w:tc>
      </w:tr>
      <w:tr w:rsidR="002B2482" w:rsidRPr="00320530">
        <w:trPr>
          <w:trHeight w:val="567"/>
          <w:jc w:val="center"/>
        </w:trPr>
        <w:tc>
          <w:tcPr>
            <w:tcW w:w="10778" w:type="dxa"/>
            <w:gridSpan w:val="8"/>
            <w:vAlign w:val="center"/>
          </w:tcPr>
          <w:p w:rsidR="002B2482" w:rsidRPr="002B2482" w:rsidRDefault="002B2482" w:rsidP="00443E3D">
            <w:pPr>
              <w:rPr>
                <w:rFonts w:ascii="仿宋_GB2312" w:eastAsia="仿宋_GB2312" w:hAnsi="宋体"/>
                <w:sz w:val="24"/>
              </w:rPr>
            </w:pPr>
            <w:r w:rsidRPr="002B2482">
              <w:rPr>
                <w:rFonts w:ascii="仿宋_GB2312" w:eastAsia="仿宋_GB2312" w:hAnsi="宋体" w:hint="eastAsia"/>
                <w:sz w:val="24"/>
              </w:rPr>
              <w:t>委托方（甲方）</w:t>
            </w:r>
            <w:r w:rsidRPr="002B2482">
              <w:rPr>
                <w:rFonts w:ascii="仿宋_GB2312" w:eastAsia="仿宋_GB2312" w:hint="eastAsia"/>
                <w:sz w:val="24"/>
              </w:rPr>
              <w:t>联系人及联系方式：</w:t>
            </w:r>
          </w:p>
        </w:tc>
      </w:tr>
      <w:tr w:rsidR="00245E87" w:rsidRPr="00320530">
        <w:trPr>
          <w:trHeight w:val="567"/>
          <w:jc w:val="center"/>
        </w:trPr>
        <w:tc>
          <w:tcPr>
            <w:tcW w:w="10778" w:type="dxa"/>
            <w:gridSpan w:val="8"/>
            <w:vAlign w:val="center"/>
          </w:tcPr>
          <w:p w:rsidR="00245E87" w:rsidRDefault="002B2482" w:rsidP="00245E87">
            <w:pPr>
              <w:rPr>
                <w:rFonts w:ascii="仿宋_GB2312" w:eastAsia="仿宋_GB2312" w:hAnsi="宋体"/>
                <w:b/>
                <w:sz w:val="24"/>
              </w:rPr>
            </w:pPr>
            <w:r w:rsidRPr="002B2482">
              <w:rPr>
                <w:rFonts w:ascii="仿宋_GB2312" w:eastAsia="仿宋_GB2312" w:hAnsi="宋体" w:hint="eastAsia"/>
                <w:b/>
                <w:sz w:val="24"/>
              </w:rPr>
              <w:t>受托人（乙方）：上海国际港务（集团）股份有限公司罗</w:t>
            </w:r>
            <w:proofErr w:type="gramStart"/>
            <w:r w:rsidRPr="002B2482">
              <w:rPr>
                <w:rFonts w:ascii="仿宋_GB2312" w:eastAsia="仿宋_GB2312" w:hAnsi="宋体" w:hint="eastAsia"/>
                <w:b/>
                <w:sz w:val="24"/>
              </w:rPr>
              <w:t>泾</w:t>
            </w:r>
            <w:proofErr w:type="gramEnd"/>
            <w:r w:rsidRPr="002B2482">
              <w:rPr>
                <w:rFonts w:ascii="仿宋_GB2312" w:eastAsia="仿宋_GB2312" w:hAnsi="宋体" w:hint="eastAsia"/>
                <w:b/>
                <w:sz w:val="24"/>
              </w:rPr>
              <w:t>分公司</w:t>
            </w:r>
          </w:p>
          <w:p w:rsidR="00BF210A" w:rsidRPr="009D7526" w:rsidRDefault="00BF210A" w:rsidP="00BF210A">
            <w:pPr>
              <w:tabs>
                <w:tab w:val="right" w:pos="7938"/>
              </w:tabs>
              <w:rPr>
                <w:rFonts w:ascii="微软雅黑" w:eastAsia="微软雅黑" w:hAnsi="微软雅黑"/>
                <w:sz w:val="24"/>
              </w:rPr>
            </w:pPr>
            <w:r w:rsidRPr="009D7526">
              <w:rPr>
                <w:rFonts w:ascii="微软雅黑" w:eastAsia="微软雅黑" w:hAnsi="微软雅黑" w:hint="eastAsia"/>
                <w:sz w:val="24"/>
              </w:rPr>
              <w:t>计划受理联系直线电话：66870226，66870225；传真：66870221</w:t>
            </w:r>
          </w:p>
          <w:p w:rsidR="00BF210A" w:rsidRPr="00BF210A" w:rsidRDefault="00BF210A" w:rsidP="00BF210A">
            <w:pPr>
              <w:tabs>
                <w:tab w:val="right" w:pos="7938"/>
              </w:tabs>
              <w:rPr>
                <w:rFonts w:ascii="微软雅黑" w:eastAsia="微软雅黑" w:hAnsi="微软雅黑"/>
                <w:sz w:val="24"/>
              </w:rPr>
            </w:pPr>
            <w:r w:rsidRPr="009D7526">
              <w:rPr>
                <w:rFonts w:ascii="微软雅黑" w:eastAsia="微软雅黑" w:hAnsi="微软雅黑" w:hint="eastAsia"/>
                <w:sz w:val="24"/>
              </w:rPr>
              <w:t>分机：56878899*88174</w:t>
            </w:r>
            <w:r>
              <w:rPr>
                <w:rFonts w:ascii="微软雅黑" w:eastAsia="微软雅黑" w:hAnsi="微软雅黑" w:hint="eastAsia"/>
                <w:sz w:val="24"/>
              </w:rPr>
              <w:t>方先生</w:t>
            </w:r>
            <w:r w:rsidRPr="009D7526">
              <w:rPr>
                <w:rFonts w:ascii="微软雅黑" w:eastAsia="微软雅黑" w:hAnsi="微软雅黑" w:hint="eastAsia"/>
                <w:sz w:val="24"/>
              </w:rPr>
              <w:t>/56878899*88176</w:t>
            </w:r>
            <w:r w:rsidRPr="00BF210A">
              <w:rPr>
                <w:rFonts w:ascii="微软雅黑" w:eastAsia="微软雅黑" w:hAnsi="微软雅黑" w:hint="eastAsia"/>
                <w:sz w:val="24"/>
              </w:rPr>
              <w:t>邬先生</w:t>
            </w:r>
          </w:p>
        </w:tc>
      </w:tr>
      <w:tr w:rsidR="00FC7580" w:rsidRPr="00320530" w:rsidTr="00643246">
        <w:trPr>
          <w:trHeight w:val="991"/>
          <w:jc w:val="center"/>
        </w:trPr>
        <w:tc>
          <w:tcPr>
            <w:tcW w:w="2099" w:type="dxa"/>
            <w:vAlign w:val="center"/>
          </w:tcPr>
          <w:p w:rsidR="00FC7580" w:rsidRPr="00320530" w:rsidRDefault="00FC7580" w:rsidP="00320530">
            <w:pPr>
              <w:jc w:val="center"/>
              <w:rPr>
                <w:rFonts w:ascii="仿宋_GB2312" w:eastAsia="仿宋_GB2312"/>
                <w:sz w:val="24"/>
              </w:rPr>
            </w:pPr>
            <w:r w:rsidRPr="00320530">
              <w:rPr>
                <w:rFonts w:ascii="仿宋_GB2312" w:eastAsia="仿宋_GB2312" w:hint="eastAsia"/>
                <w:sz w:val="24"/>
              </w:rPr>
              <w:t>提单号</w:t>
            </w:r>
          </w:p>
        </w:tc>
        <w:tc>
          <w:tcPr>
            <w:tcW w:w="1023" w:type="dxa"/>
            <w:vAlign w:val="center"/>
          </w:tcPr>
          <w:p w:rsidR="00FC7580" w:rsidRPr="00320530" w:rsidRDefault="00FC7580" w:rsidP="00320530">
            <w:pPr>
              <w:jc w:val="center"/>
              <w:rPr>
                <w:rFonts w:ascii="仿宋_GB2312" w:eastAsia="仿宋_GB2312"/>
                <w:sz w:val="24"/>
              </w:rPr>
            </w:pPr>
            <w:r w:rsidRPr="00320530">
              <w:rPr>
                <w:rFonts w:ascii="仿宋_GB2312" w:eastAsia="仿宋_GB2312" w:hint="eastAsia"/>
                <w:sz w:val="24"/>
              </w:rPr>
              <w:t>货名</w:t>
            </w:r>
          </w:p>
        </w:tc>
        <w:tc>
          <w:tcPr>
            <w:tcW w:w="746" w:type="dxa"/>
            <w:vAlign w:val="center"/>
          </w:tcPr>
          <w:p w:rsidR="00FC7580" w:rsidRPr="00320530" w:rsidRDefault="00FC7580" w:rsidP="00320530">
            <w:pPr>
              <w:jc w:val="center"/>
              <w:rPr>
                <w:rFonts w:ascii="仿宋_GB2312" w:eastAsia="仿宋_GB2312"/>
                <w:sz w:val="24"/>
              </w:rPr>
            </w:pPr>
            <w:r w:rsidRPr="00320530">
              <w:rPr>
                <w:rFonts w:ascii="仿宋_GB2312" w:eastAsia="仿宋_GB2312" w:hint="eastAsia"/>
                <w:sz w:val="24"/>
              </w:rPr>
              <w:t>件数</w:t>
            </w:r>
          </w:p>
        </w:tc>
        <w:tc>
          <w:tcPr>
            <w:tcW w:w="1369" w:type="dxa"/>
            <w:vAlign w:val="center"/>
          </w:tcPr>
          <w:p w:rsidR="00FC7580" w:rsidRPr="00320530" w:rsidRDefault="00FC7580" w:rsidP="00320530">
            <w:pPr>
              <w:jc w:val="center"/>
              <w:rPr>
                <w:rFonts w:ascii="仿宋_GB2312" w:eastAsia="仿宋_GB2312"/>
                <w:sz w:val="24"/>
              </w:rPr>
            </w:pPr>
            <w:r w:rsidRPr="00320530">
              <w:rPr>
                <w:rFonts w:ascii="仿宋_GB2312" w:eastAsia="仿宋_GB2312" w:hint="eastAsia"/>
                <w:sz w:val="24"/>
              </w:rPr>
              <w:t>重量(KG)</w:t>
            </w:r>
          </w:p>
        </w:tc>
        <w:tc>
          <w:tcPr>
            <w:tcW w:w="840" w:type="dxa"/>
            <w:vAlign w:val="center"/>
          </w:tcPr>
          <w:p w:rsidR="00FC7580" w:rsidRPr="00320530" w:rsidRDefault="00FC7580" w:rsidP="00320530">
            <w:pPr>
              <w:jc w:val="center"/>
              <w:rPr>
                <w:rFonts w:ascii="仿宋_GB2312" w:eastAsia="仿宋_GB2312"/>
                <w:sz w:val="24"/>
              </w:rPr>
            </w:pPr>
            <w:r w:rsidRPr="00320530">
              <w:rPr>
                <w:rFonts w:ascii="仿宋_GB2312" w:eastAsia="仿宋_GB2312" w:hint="eastAsia"/>
                <w:sz w:val="24"/>
              </w:rPr>
              <w:t>条款</w:t>
            </w:r>
          </w:p>
        </w:tc>
        <w:tc>
          <w:tcPr>
            <w:tcW w:w="1298" w:type="dxa"/>
            <w:vAlign w:val="center"/>
          </w:tcPr>
          <w:p w:rsidR="00FC7580" w:rsidRPr="00320530" w:rsidRDefault="00FC7580" w:rsidP="00320530">
            <w:pPr>
              <w:jc w:val="center"/>
              <w:rPr>
                <w:rFonts w:ascii="仿宋_GB2312" w:eastAsia="仿宋_GB2312"/>
                <w:sz w:val="24"/>
              </w:rPr>
            </w:pPr>
            <w:r w:rsidRPr="00320530">
              <w:rPr>
                <w:rFonts w:ascii="仿宋_GB2312" w:eastAsia="仿宋_GB2312" w:hint="eastAsia"/>
                <w:sz w:val="24"/>
              </w:rPr>
              <w:t>进</w:t>
            </w:r>
            <w:proofErr w:type="gramStart"/>
            <w:r w:rsidRPr="00320530">
              <w:rPr>
                <w:rFonts w:ascii="仿宋_GB2312" w:eastAsia="仿宋_GB2312" w:hint="eastAsia"/>
                <w:sz w:val="24"/>
              </w:rPr>
              <w:t>栈</w:t>
            </w:r>
            <w:proofErr w:type="gramEnd"/>
            <w:r w:rsidRPr="00320530">
              <w:rPr>
                <w:rFonts w:ascii="仿宋_GB2312" w:eastAsia="仿宋_GB2312" w:hint="eastAsia"/>
                <w:sz w:val="24"/>
              </w:rPr>
              <w:t>方式</w:t>
            </w:r>
          </w:p>
          <w:p w:rsidR="00FC7580" w:rsidRPr="00320530" w:rsidRDefault="00FC7580" w:rsidP="00320530">
            <w:pPr>
              <w:jc w:val="center"/>
              <w:rPr>
                <w:rFonts w:ascii="仿宋_GB2312" w:eastAsia="仿宋_GB2312"/>
                <w:sz w:val="24"/>
              </w:rPr>
            </w:pPr>
            <w:r w:rsidRPr="00320530">
              <w:rPr>
                <w:rFonts w:ascii="仿宋_GB2312" w:eastAsia="仿宋_GB2312" w:hint="eastAsia"/>
                <w:sz w:val="24"/>
              </w:rPr>
              <w:t>（车/驳）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C7580" w:rsidRPr="00320530" w:rsidRDefault="00FC7580" w:rsidP="00320530">
            <w:pPr>
              <w:jc w:val="center"/>
              <w:rPr>
                <w:rFonts w:ascii="仿宋_GB2312" w:eastAsia="仿宋_GB2312"/>
                <w:sz w:val="24"/>
              </w:rPr>
            </w:pPr>
            <w:r w:rsidRPr="00320530">
              <w:rPr>
                <w:rFonts w:ascii="仿宋_GB2312" w:eastAsia="仿宋_GB2312" w:hint="eastAsia"/>
                <w:sz w:val="24"/>
              </w:rPr>
              <w:t>厂家名称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C7580" w:rsidRPr="00320530" w:rsidRDefault="0038532D" w:rsidP="003205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绑扎</w:t>
            </w:r>
          </w:p>
        </w:tc>
      </w:tr>
      <w:tr w:rsidR="00FC7580" w:rsidRPr="00C73992" w:rsidTr="00643246">
        <w:trPr>
          <w:trHeight w:val="557"/>
          <w:jc w:val="center"/>
        </w:trPr>
        <w:tc>
          <w:tcPr>
            <w:tcW w:w="2099" w:type="dxa"/>
            <w:vAlign w:val="center"/>
          </w:tcPr>
          <w:p w:rsidR="00FC7580" w:rsidRPr="00C73992" w:rsidRDefault="00FC7580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FC7580" w:rsidRPr="00C73992" w:rsidRDefault="00FC7580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746" w:type="dxa"/>
            <w:vAlign w:val="center"/>
          </w:tcPr>
          <w:p w:rsidR="00FC7580" w:rsidRPr="00C73992" w:rsidRDefault="00FC7580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FC7580" w:rsidRPr="00C73992" w:rsidRDefault="00FC7580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C7580" w:rsidRPr="00C73992" w:rsidRDefault="00FC7580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FC7580" w:rsidRPr="00C73992" w:rsidRDefault="00FC7580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FC7580" w:rsidRPr="00C73992" w:rsidRDefault="00FC7580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FC7580" w:rsidRPr="00C73992" w:rsidRDefault="00FC7580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153D76" w:rsidRPr="00C73992" w:rsidTr="00643246">
        <w:trPr>
          <w:trHeight w:val="557"/>
          <w:jc w:val="center"/>
        </w:trPr>
        <w:tc>
          <w:tcPr>
            <w:tcW w:w="2099" w:type="dxa"/>
            <w:vAlign w:val="center"/>
          </w:tcPr>
          <w:p w:rsidR="00153D76" w:rsidRPr="00C73992" w:rsidRDefault="00153D76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153D76" w:rsidRPr="00C73992" w:rsidRDefault="00153D76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746" w:type="dxa"/>
            <w:vAlign w:val="center"/>
          </w:tcPr>
          <w:p w:rsidR="00153D76" w:rsidRPr="00C73992" w:rsidRDefault="00153D76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53D76" w:rsidRPr="00C73992" w:rsidRDefault="00153D76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53D76" w:rsidRPr="00C73992" w:rsidRDefault="00153D76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153D76" w:rsidRPr="00C73992" w:rsidRDefault="00153D76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153D76" w:rsidRPr="00C73992" w:rsidRDefault="00153D76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153D76" w:rsidRPr="00C73992" w:rsidRDefault="00153D76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153D76" w:rsidRPr="00C73992" w:rsidTr="00643246">
        <w:trPr>
          <w:trHeight w:val="557"/>
          <w:jc w:val="center"/>
        </w:trPr>
        <w:tc>
          <w:tcPr>
            <w:tcW w:w="2099" w:type="dxa"/>
            <w:vAlign w:val="center"/>
          </w:tcPr>
          <w:p w:rsidR="00153D76" w:rsidRPr="00C73992" w:rsidRDefault="00153D76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153D76" w:rsidRPr="00C73992" w:rsidRDefault="00153D76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746" w:type="dxa"/>
            <w:vAlign w:val="center"/>
          </w:tcPr>
          <w:p w:rsidR="00153D76" w:rsidRPr="00C73992" w:rsidRDefault="00153D76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153D76" w:rsidRPr="00C73992" w:rsidRDefault="00153D76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53D76" w:rsidRPr="00C73992" w:rsidRDefault="00153D76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153D76" w:rsidRPr="00C73992" w:rsidRDefault="00153D76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153D76" w:rsidRPr="00C73992" w:rsidRDefault="00153D76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153D76" w:rsidRPr="00C73992" w:rsidRDefault="00153D76" w:rsidP="00AF3DA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153D76" w:rsidRPr="00340DD0" w:rsidTr="000F0A29">
        <w:trPr>
          <w:trHeight w:val="562"/>
          <w:jc w:val="center"/>
        </w:trPr>
        <w:tc>
          <w:tcPr>
            <w:tcW w:w="10778" w:type="dxa"/>
            <w:gridSpan w:val="8"/>
          </w:tcPr>
          <w:p w:rsidR="00AE6B5A" w:rsidRPr="00643246" w:rsidRDefault="0038532D" w:rsidP="00643246">
            <w:pPr>
              <w:ind w:firstLineChars="147" w:firstLine="325"/>
              <w:rPr>
                <w:rFonts w:ascii="宋体" w:hAnsi="宋体"/>
                <w:b/>
                <w:sz w:val="22"/>
              </w:rPr>
            </w:pPr>
            <w:r w:rsidRPr="00643246">
              <w:rPr>
                <w:rFonts w:ascii="宋体" w:hAnsi="宋体" w:hint="eastAsia"/>
                <w:b/>
                <w:sz w:val="22"/>
              </w:rPr>
              <w:t>备注：</w:t>
            </w:r>
          </w:p>
        </w:tc>
      </w:tr>
      <w:tr w:rsidR="00340DD0" w:rsidRPr="00C73992" w:rsidTr="00443E3D">
        <w:trPr>
          <w:trHeight w:val="1548"/>
          <w:jc w:val="center"/>
        </w:trPr>
        <w:tc>
          <w:tcPr>
            <w:tcW w:w="10778" w:type="dxa"/>
            <w:gridSpan w:val="8"/>
            <w:vAlign w:val="center"/>
          </w:tcPr>
          <w:p w:rsidR="00865E65" w:rsidRDefault="00865E65" w:rsidP="00865E65">
            <w:pPr>
              <w:rPr>
                <w:rFonts w:ascii="宋体" w:hAnsi="宋体"/>
                <w:b/>
                <w:sz w:val="24"/>
              </w:rPr>
            </w:pPr>
            <w:r w:rsidRPr="00A708EE">
              <w:rPr>
                <w:rFonts w:ascii="宋体" w:hAnsi="宋体" w:hint="eastAsia"/>
                <w:b/>
                <w:sz w:val="24"/>
              </w:rPr>
              <w:t>注:</w:t>
            </w:r>
            <w:r>
              <w:rPr>
                <w:rFonts w:ascii="宋体" w:hAnsi="宋体" w:hint="eastAsia"/>
                <w:b/>
                <w:sz w:val="24"/>
              </w:rPr>
              <w:t>1：</w:t>
            </w:r>
            <w:r w:rsidRPr="00A708EE">
              <w:rPr>
                <w:rFonts w:ascii="宋体" w:hAnsi="宋体" w:hint="eastAsia"/>
                <w:b/>
                <w:sz w:val="24"/>
              </w:rPr>
              <w:t>为保障装卸生产安全及相关权益，乙方对所有货物委托中理公司进行打尺。甲方在货物进齐、清单完整后主动联系</w:t>
            </w:r>
            <w:r w:rsidR="00B25EE1">
              <w:rPr>
                <w:rFonts w:ascii="宋体" w:hAnsi="宋体" w:hint="eastAsia"/>
                <w:b/>
                <w:sz w:val="24"/>
              </w:rPr>
              <w:t>外理</w:t>
            </w:r>
            <w:r w:rsidRPr="00A708EE">
              <w:rPr>
                <w:rFonts w:ascii="宋体" w:hAnsi="宋体" w:hint="eastAsia"/>
                <w:b/>
                <w:sz w:val="24"/>
              </w:rPr>
              <w:t>公司（</w:t>
            </w:r>
            <w:proofErr w:type="gramStart"/>
            <w:r w:rsidR="00B25EE1">
              <w:rPr>
                <w:rFonts w:ascii="宋体" w:hAnsi="宋体" w:hint="eastAsia"/>
                <w:b/>
                <w:sz w:val="24"/>
              </w:rPr>
              <w:t>郑昌晨</w:t>
            </w:r>
            <w:proofErr w:type="gramEnd"/>
            <w:r w:rsidR="00B25EE1" w:rsidRPr="00B25EE1">
              <w:rPr>
                <w:rFonts w:ascii="宋体" w:hAnsi="宋体" w:hint="eastAsia"/>
                <w:b/>
                <w:sz w:val="24"/>
              </w:rPr>
              <w:t>17321108683</w:t>
            </w:r>
            <w:r w:rsidRPr="00A708EE">
              <w:rPr>
                <w:rFonts w:ascii="宋体" w:hAnsi="宋体" w:hint="eastAsia"/>
                <w:b/>
                <w:sz w:val="24"/>
              </w:rPr>
              <w:t>）进行监尺，如未及时联系则视为放弃。装货后对于打</w:t>
            </w:r>
            <w:proofErr w:type="gramStart"/>
            <w:r w:rsidRPr="00A708EE">
              <w:rPr>
                <w:rFonts w:ascii="宋体" w:hAnsi="宋体" w:hint="eastAsia"/>
                <w:b/>
                <w:sz w:val="24"/>
              </w:rPr>
              <w:t>尺数据</w:t>
            </w:r>
            <w:proofErr w:type="gramEnd"/>
            <w:r w:rsidRPr="00A708EE">
              <w:rPr>
                <w:rFonts w:ascii="宋体" w:hAnsi="宋体" w:hint="eastAsia"/>
                <w:b/>
                <w:sz w:val="24"/>
              </w:rPr>
              <w:t>有疑义，乙方不予接受。乙方提供中理公司出具的含有国家认证的打尺报告。</w:t>
            </w:r>
          </w:p>
          <w:p w:rsidR="00A04FF1" w:rsidRDefault="00865E65" w:rsidP="00A04FF1">
            <w:pPr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2：甲方确认的条款在</w:t>
            </w:r>
            <w:r w:rsidR="00511B9D">
              <w:rPr>
                <w:rFonts w:ascii="宋体" w:hAnsi="宋体" w:hint="eastAsia"/>
                <w:b/>
                <w:sz w:val="24"/>
              </w:rPr>
              <w:t>开船前</w:t>
            </w:r>
            <w:r>
              <w:rPr>
                <w:rFonts w:ascii="宋体" w:hAnsi="宋体" w:hint="eastAsia"/>
                <w:b/>
                <w:sz w:val="24"/>
              </w:rPr>
              <w:t>不允许更改，如更改条款，加收3元/</w:t>
            </w:r>
            <w:r w:rsidR="008951B2">
              <w:rPr>
                <w:rFonts w:ascii="宋体" w:hAnsi="宋体" w:hint="eastAsia"/>
                <w:b/>
                <w:sz w:val="24"/>
              </w:rPr>
              <w:t>计费</w:t>
            </w:r>
            <w:r>
              <w:rPr>
                <w:rFonts w:ascii="宋体" w:hAnsi="宋体" w:hint="eastAsia"/>
                <w:b/>
                <w:sz w:val="24"/>
              </w:rPr>
              <w:t>吨。</w:t>
            </w:r>
          </w:p>
          <w:p w:rsidR="00A04FF1" w:rsidRDefault="00A04FF1" w:rsidP="00A04FF1">
            <w:pPr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3：甲方如实际钢厂货物与所述钢厂不符，由此产生的后果由甲方负责，费用按集团公示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价结费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。</w:t>
            </w:r>
          </w:p>
          <w:p w:rsidR="005346F7" w:rsidRDefault="005346F7" w:rsidP="006D3CEF">
            <w:pPr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4：甲方如需申请港区拖运的，需在靠船前完成申请</w:t>
            </w:r>
            <w:r w:rsidR="006D3CEF"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 w:hint="eastAsia"/>
                <w:b/>
                <w:sz w:val="24"/>
              </w:rPr>
              <w:t>在备注栏中确认相关费用</w:t>
            </w:r>
            <w:r w:rsidR="006D3CEF">
              <w:rPr>
                <w:rFonts w:ascii="宋体" w:hAnsi="宋体" w:hint="eastAsia"/>
                <w:b/>
                <w:sz w:val="24"/>
              </w:rPr>
              <w:t>、提供保函并</w:t>
            </w:r>
            <w:r>
              <w:rPr>
                <w:rFonts w:ascii="宋体" w:hAnsi="宋体" w:hint="eastAsia"/>
                <w:b/>
                <w:sz w:val="24"/>
              </w:rPr>
              <w:t>附</w:t>
            </w:r>
            <w:r w:rsidR="006D3CEF">
              <w:rPr>
                <w:rFonts w:ascii="宋体" w:hAnsi="宋体" w:hint="eastAsia"/>
                <w:b/>
                <w:sz w:val="24"/>
              </w:rPr>
              <w:t>相关</w:t>
            </w:r>
            <w:r>
              <w:rPr>
                <w:rFonts w:ascii="宋体" w:hAnsi="宋体" w:hint="eastAsia"/>
                <w:b/>
                <w:sz w:val="24"/>
              </w:rPr>
              <w:t>清单。</w:t>
            </w:r>
          </w:p>
          <w:p w:rsidR="007F1172" w:rsidRDefault="007F1172" w:rsidP="007F1172">
            <w:pPr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5：甲方确认到港货物在45天内出运。逾期未出运，甲方将负责将其提离港区。未及时提离港区的，甲方确认所产生的相关费用。</w:t>
            </w:r>
          </w:p>
          <w:p w:rsidR="0009160D" w:rsidRDefault="0009160D" w:rsidP="000028C1">
            <w:pPr>
              <w:ind w:firstLineChars="147" w:firstLine="354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6：甲方确认驳船到港时</w:t>
            </w:r>
            <w:r w:rsidR="000028C1">
              <w:rPr>
                <w:rFonts w:ascii="宋体" w:hAnsi="宋体" w:hint="eastAsia"/>
                <w:b/>
                <w:sz w:val="24"/>
              </w:rPr>
              <w:t>如</w:t>
            </w:r>
            <w:r>
              <w:rPr>
                <w:rFonts w:ascii="宋体" w:hAnsi="宋体" w:hint="eastAsia"/>
                <w:b/>
                <w:sz w:val="24"/>
              </w:rPr>
              <w:t>需要处</w:t>
            </w:r>
            <w:r w:rsidR="00BF27BE">
              <w:rPr>
                <w:rFonts w:ascii="宋体" w:hAnsi="宋体" w:hint="eastAsia"/>
                <w:b/>
                <w:sz w:val="24"/>
              </w:rPr>
              <w:t>置船舶</w:t>
            </w:r>
            <w:r>
              <w:rPr>
                <w:rFonts w:ascii="宋体" w:hAnsi="宋体" w:hint="eastAsia"/>
                <w:b/>
                <w:sz w:val="24"/>
              </w:rPr>
              <w:t>污染物</w:t>
            </w:r>
            <w:r w:rsidR="000028C1">
              <w:rPr>
                <w:rFonts w:ascii="宋体" w:hAnsi="宋体" w:hint="eastAsia"/>
                <w:b/>
                <w:sz w:val="24"/>
              </w:rPr>
              <w:t>，可以联系我司驳船交接点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  <w:r w:rsidR="005219EB">
              <w:rPr>
                <w:rFonts w:ascii="宋体" w:hAnsi="宋体" w:hint="eastAsia"/>
                <w:b/>
                <w:sz w:val="24"/>
              </w:rPr>
              <w:t>是□ 否□</w:t>
            </w:r>
          </w:p>
        </w:tc>
      </w:tr>
    </w:tbl>
    <w:p w:rsidR="007D34D5" w:rsidRPr="009D7526" w:rsidRDefault="002B2482" w:rsidP="00A36B0B">
      <w:pPr>
        <w:rPr>
          <w:rFonts w:ascii="微软雅黑" w:eastAsia="微软雅黑" w:hAnsi="微软雅黑"/>
          <w:sz w:val="24"/>
        </w:rPr>
      </w:pPr>
      <w:r w:rsidRPr="009D7526">
        <w:rPr>
          <w:rFonts w:ascii="微软雅黑" w:eastAsia="微软雅黑" w:hAnsi="微软雅黑" w:hint="eastAsia"/>
          <w:sz w:val="24"/>
        </w:rPr>
        <w:t>甲乙双方经友好协商就甲方委托乙方作业以上货物</w:t>
      </w:r>
      <w:r w:rsidR="00824C9C" w:rsidRPr="009D7526">
        <w:rPr>
          <w:rFonts w:ascii="微软雅黑" w:eastAsia="微软雅黑" w:hAnsi="微软雅黑" w:hint="eastAsia"/>
          <w:sz w:val="24"/>
        </w:rPr>
        <w:t>码头装卸</w:t>
      </w:r>
      <w:r w:rsidRPr="009D7526">
        <w:rPr>
          <w:rFonts w:ascii="微软雅黑" w:eastAsia="微软雅黑" w:hAnsi="微软雅黑" w:hint="eastAsia"/>
          <w:sz w:val="24"/>
        </w:rPr>
        <w:t>事项达成一致</w:t>
      </w:r>
      <w:r w:rsidR="007D34D5" w:rsidRPr="009D7526">
        <w:rPr>
          <w:rFonts w:ascii="微软雅黑" w:eastAsia="微软雅黑" w:hAnsi="微软雅黑" w:hint="eastAsia"/>
          <w:sz w:val="24"/>
        </w:rPr>
        <w:t>；</w:t>
      </w:r>
    </w:p>
    <w:p w:rsidR="002B2482" w:rsidRPr="009D7526" w:rsidRDefault="007D34D5" w:rsidP="00A36B0B">
      <w:pPr>
        <w:rPr>
          <w:rFonts w:ascii="微软雅黑" w:eastAsia="微软雅黑" w:hAnsi="微软雅黑"/>
          <w:sz w:val="24"/>
        </w:rPr>
      </w:pPr>
      <w:r w:rsidRPr="009D7526">
        <w:rPr>
          <w:rFonts w:ascii="微软雅黑" w:eastAsia="微软雅黑" w:hAnsi="微软雅黑" w:hint="eastAsia"/>
          <w:sz w:val="24"/>
        </w:rPr>
        <w:t>甲方知晓乙方有关上述货物的操作费率</w:t>
      </w:r>
      <w:r w:rsidR="002B2482" w:rsidRPr="009D7526">
        <w:rPr>
          <w:rFonts w:ascii="微软雅黑" w:eastAsia="微软雅黑" w:hAnsi="微软雅黑" w:hint="eastAsia"/>
          <w:sz w:val="24"/>
        </w:rPr>
        <w:t>及操作</w:t>
      </w:r>
      <w:r w:rsidR="00824C9C" w:rsidRPr="009D7526">
        <w:rPr>
          <w:rFonts w:ascii="微软雅黑" w:eastAsia="微软雅黑" w:hAnsi="微软雅黑" w:hint="eastAsia"/>
          <w:sz w:val="24"/>
        </w:rPr>
        <w:t>规定</w:t>
      </w:r>
      <w:r w:rsidR="002B2482" w:rsidRPr="009D7526">
        <w:rPr>
          <w:rFonts w:ascii="微软雅黑" w:eastAsia="微软雅黑" w:hAnsi="微软雅黑" w:hint="eastAsia"/>
          <w:sz w:val="24"/>
        </w:rPr>
        <w:t>事宜</w:t>
      </w:r>
      <w:r w:rsidRPr="009D7526">
        <w:rPr>
          <w:rFonts w:ascii="微软雅黑" w:eastAsia="微软雅黑" w:hAnsi="微软雅黑" w:hint="eastAsia"/>
          <w:sz w:val="24"/>
        </w:rPr>
        <w:t>，承诺按照有关规定执行；</w:t>
      </w:r>
    </w:p>
    <w:p w:rsidR="007D34D5" w:rsidRPr="009D7526" w:rsidRDefault="007D34D5" w:rsidP="00A36B0B">
      <w:pPr>
        <w:rPr>
          <w:rFonts w:ascii="微软雅黑" w:eastAsia="微软雅黑" w:hAnsi="微软雅黑"/>
          <w:sz w:val="24"/>
        </w:rPr>
      </w:pPr>
      <w:r w:rsidRPr="009D7526">
        <w:rPr>
          <w:rFonts w:ascii="微软雅黑" w:eastAsia="微软雅黑" w:hAnsi="微软雅黑" w:hint="eastAsia"/>
          <w:sz w:val="24"/>
        </w:rPr>
        <w:t>乙方知晓甲方有关上述货物的操作要求</w:t>
      </w:r>
      <w:r w:rsidR="00824C9C" w:rsidRPr="009D7526">
        <w:rPr>
          <w:rFonts w:ascii="微软雅黑" w:eastAsia="微软雅黑" w:hAnsi="微软雅黑" w:hint="eastAsia"/>
          <w:sz w:val="24"/>
        </w:rPr>
        <w:t>，承诺按照有关安全操作标准执行；</w:t>
      </w:r>
    </w:p>
    <w:p w:rsidR="007D3DCD" w:rsidRPr="009D7526" w:rsidRDefault="007D3DCD" w:rsidP="007D3DCD">
      <w:pPr>
        <w:spacing w:line="360" w:lineRule="auto"/>
        <w:rPr>
          <w:rFonts w:ascii="微软雅黑" w:eastAsia="微软雅黑" w:hAnsi="微软雅黑"/>
          <w:sz w:val="24"/>
        </w:rPr>
      </w:pPr>
      <w:r w:rsidRPr="009D7526">
        <w:rPr>
          <w:rFonts w:ascii="微软雅黑" w:eastAsia="微软雅黑" w:hAnsi="微软雅黑" w:hint="eastAsia"/>
          <w:sz w:val="24"/>
        </w:rPr>
        <w:t>上述约定：自</w:t>
      </w:r>
      <w:r w:rsidR="00184810" w:rsidRPr="009D7526">
        <w:rPr>
          <w:rFonts w:ascii="微软雅黑" w:eastAsia="微软雅黑" w:hAnsi="微软雅黑" w:hint="eastAsia"/>
          <w:sz w:val="24"/>
        </w:rPr>
        <w:t>甲方</w:t>
      </w:r>
      <w:r w:rsidRPr="009D7526">
        <w:rPr>
          <w:rFonts w:ascii="微软雅黑" w:eastAsia="微软雅黑" w:hAnsi="微软雅黑" w:hint="eastAsia"/>
          <w:sz w:val="24"/>
        </w:rPr>
        <w:t>签字盖章后生效，</w:t>
      </w:r>
      <w:proofErr w:type="gramStart"/>
      <w:r w:rsidRPr="009D7526">
        <w:rPr>
          <w:rFonts w:ascii="微软雅黑" w:eastAsia="微软雅黑" w:hAnsi="微软雅黑" w:hint="eastAsia"/>
          <w:sz w:val="24"/>
        </w:rPr>
        <w:t>至以上</w:t>
      </w:r>
      <w:proofErr w:type="gramEnd"/>
      <w:r w:rsidRPr="009D7526">
        <w:rPr>
          <w:rFonts w:ascii="微软雅黑" w:eastAsia="微软雅黑" w:hAnsi="微软雅黑" w:hint="eastAsia"/>
          <w:sz w:val="24"/>
        </w:rPr>
        <w:t>货物操作完结甲方付清乙方有关费用后终止。</w:t>
      </w:r>
    </w:p>
    <w:p w:rsidR="009D7526" w:rsidRPr="00A708EE" w:rsidRDefault="00824C9C" w:rsidP="00A75096">
      <w:pPr>
        <w:rPr>
          <w:rFonts w:ascii="微软雅黑" w:eastAsia="微软雅黑" w:hAnsi="微软雅黑" w:hint="eastAsia"/>
          <w:sz w:val="24"/>
        </w:rPr>
      </w:pPr>
      <w:r w:rsidRPr="009D7526">
        <w:rPr>
          <w:rFonts w:ascii="微软雅黑" w:eastAsia="微软雅黑" w:hAnsi="微软雅黑" w:hint="eastAsia"/>
          <w:sz w:val="24"/>
        </w:rPr>
        <w:t>甲方特确认：</w:t>
      </w:r>
      <w:r w:rsidR="00A36B0B" w:rsidRPr="009D7526">
        <w:rPr>
          <w:rFonts w:ascii="微软雅黑" w:eastAsia="微软雅黑" w:hAnsi="微软雅黑" w:hint="eastAsia"/>
          <w:sz w:val="24"/>
        </w:rPr>
        <w:t xml:space="preserve">上述 </w:t>
      </w:r>
      <w:r w:rsidR="00AF3DA0" w:rsidRPr="009D7526">
        <w:rPr>
          <w:rFonts w:ascii="微软雅黑" w:eastAsia="微软雅黑" w:hAnsi="微软雅黑" w:hint="eastAsia"/>
          <w:sz w:val="24"/>
        </w:rPr>
        <w:t xml:space="preserve"> </w:t>
      </w:r>
      <w:r w:rsidR="00A36B0B" w:rsidRPr="009D7526">
        <w:rPr>
          <w:rFonts w:ascii="微软雅黑" w:eastAsia="微软雅黑" w:hAnsi="微软雅黑" w:hint="eastAsia"/>
          <w:sz w:val="24"/>
        </w:rPr>
        <w:t xml:space="preserve"> 票货物在罗</w:t>
      </w:r>
      <w:proofErr w:type="gramStart"/>
      <w:r w:rsidR="00A36B0B" w:rsidRPr="009D7526">
        <w:rPr>
          <w:rFonts w:ascii="微软雅黑" w:eastAsia="微软雅黑" w:hAnsi="微软雅黑" w:hint="eastAsia"/>
          <w:sz w:val="24"/>
        </w:rPr>
        <w:t>泾</w:t>
      </w:r>
      <w:proofErr w:type="gramEnd"/>
      <w:r w:rsidR="00A36B0B" w:rsidRPr="009D7526">
        <w:rPr>
          <w:rFonts w:ascii="微软雅黑" w:eastAsia="微软雅黑" w:hAnsi="微软雅黑" w:hint="eastAsia"/>
          <w:sz w:val="24"/>
        </w:rPr>
        <w:t>所发生的港杂费用由</w:t>
      </w:r>
      <w:r w:rsidR="007D3DCD" w:rsidRPr="009D7526">
        <w:rPr>
          <w:rFonts w:ascii="微软雅黑" w:eastAsia="微软雅黑" w:hAnsi="微软雅黑" w:hint="eastAsia"/>
          <w:sz w:val="24"/>
        </w:rPr>
        <w:t>甲方</w:t>
      </w:r>
      <w:r w:rsidR="00A36B0B" w:rsidRPr="009D7526">
        <w:rPr>
          <w:rFonts w:ascii="微软雅黑" w:eastAsia="微软雅黑" w:hAnsi="微软雅黑" w:hint="eastAsia"/>
          <w:sz w:val="24"/>
        </w:rPr>
        <w:t>公司承担，特此确认！</w:t>
      </w:r>
      <w:bookmarkStart w:id="0" w:name="_GoBack"/>
      <w:bookmarkEnd w:id="0"/>
    </w:p>
    <w:p w:rsidR="008127F6" w:rsidRPr="00A708EE" w:rsidRDefault="003C4CC7" w:rsidP="003C4CC7">
      <w:pPr>
        <w:tabs>
          <w:tab w:val="right" w:pos="7938"/>
        </w:tabs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     </w:t>
      </w:r>
      <w:r w:rsidR="008127F6" w:rsidRPr="00A708EE">
        <w:rPr>
          <w:rFonts w:ascii="微软雅黑" w:eastAsia="微软雅黑" w:hAnsi="微软雅黑" w:hint="eastAsia"/>
          <w:sz w:val="24"/>
        </w:rPr>
        <w:t>公司名称：</w:t>
      </w:r>
    </w:p>
    <w:p w:rsidR="008127F6" w:rsidRPr="00A708EE" w:rsidRDefault="008127F6" w:rsidP="003C4CC7">
      <w:pPr>
        <w:spacing w:line="360" w:lineRule="auto"/>
        <w:ind w:right="480" w:firstLineChars="1900" w:firstLine="4560"/>
        <w:rPr>
          <w:rFonts w:ascii="微软雅黑" w:eastAsia="微软雅黑" w:hAnsi="微软雅黑"/>
          <w:sz w:val="24"/>
        </w:rPr>
      </w:pPr>
      <w:r w:rsidRPr="00A708EE">
        <w:rPr>
          <w:rFonts w:ascii="微软雅黑" w:eastAsia="微软雅黑" w:hAnsi="微软雅黑" w:hint="eastAsia"/>
          <w:sz w:val="24"/>
        </w:rPr>
        <w:t xml:space="preserve">盖章处：                                               </w:t>
      </w:r>
    </w:p>
    <w:p w:rsidR="00DE2A61" w:rsidRPr="00A708EE" w:rsidRDefault="008127F6" w:rsidP="003C4CC7">
      <w:pPr>
        <w:tabs>
          <w:tab w:val="right" w:pos="7938"/>
        </w:tabs>
        <w:ind w:firstLineChars="1300" w:firstLine="3120"/>
        <w:jc w:val="right"/>
        <w:rPr>
          <w:rFonts w:ascii="微软雅黑" w:eastAsia="微软雅黑" w:hAnsi="微软雅黑"/>
          <w:sz w:val="24"/>
        </w:rPr>
      </w:pPr>
      <w:r w:rsidRPr="00A708EE">
        <w:rPr>
          <w:rFonts w:ascii="微软雅黑" w:eastAsia="微软雅黑" w:hAnsi="微软雅黑" w:hint="eastAsia"/>
          <w:sz w:val="24"/>
        </w:rPr>
        <w:lastRenderedPageBreak/>
        <w:t xml:space="preserve"> </w:t>
      </w:r>
      <w:r w:rsidR="00A708EE">
        <w:rPr>
          <w:rFonts w:ascii="微软雅黑" w:eastAsia="微软雅黑" w:hAnsi="微软雅黑" w:hint="eastAsia"/>
          <w:sz w:val="24"/>
        </w:rPr>
        <w:t xml:space="preserve">                        </w:t>
      </w:r>
      <w:r w:rsidR="00AF3DA0" w:rsidRPr="00A708EE">
        <w:rPr>
          <w:rFonts w:ascii="微软雅黑" w:eastAsia="微软雅黑" w:hAnsi="微软雅黑" w:hint="eastAsia"/>
          <w:sz w:val="24"/>
        </w:rPr>
        <w:t>年</w:t>
      </w:r>
      <w:r w:rsidR="003C4CC7">
        <w:rPr>
          <w:rFonts w:ascii="微软雅黑" w:eastAsia="微软雅黑" w:hAnsi="微软雅黑" w:hint="eastAsia"/>
          <w:sz w:val="24"/>
        </w:rPr>
        <w:t xml:space="preserve">    </w:t>
      </w:r>
      <w:r w:rsidR="00AF3DA0" w:rsidRPr="00A708EE">
        <w:rPr>
          <w:rFonts w:ascii="微软雅黑" w:eastAsia="微软雅黑" w:hAnsi="微软雅黑" w:hint="eastAsia"/>
          <w:sz w:val="24"/>
        </w:rPr>
        <w:t>月</w:t>
      </w:r>
      <w:r w:rsidR="003C4CC7">
        <w:rPr>
          <w:rFonts w:ascii="微软雅黑" w:eastAsia="微软雅黑" w:hAnsi="微软雅黑" w:hint="eastAsia"/>
          <w:sz w:val="24"/>
        </w:rPr>
        <w:t xml:space="preserve">    </w:t>
      </w:r>
      <w:r w:rsidR="00AF3DA0" w:rsidRPr="00A708EE">
        <w:rPr>
          <w:rFonts w:ascii="微软雅黑" w:eastAsia="微软雅黑" w:hAnsi="微软雅黑" w:hint="eastAsia"/>
          <w:sz w:val="24"/>
        </w:rPr>
        <w:t>日</w:t>
      </w:r>
    </w:p>
    <w:sectPr w:rsidR="00DE2A61" w:rsidRPr="00A708EE" w:rsidSect="008127F6">
      <w:pgSz w:w="11906" w:h="16838"/>
      <w:pgMar w:top="680" w:right="1418" w:bottom="68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16C" w:rsidRDefault="00E6716C" w:rsidP="008E0747">
      <w:r>
        <w:separator/>
      </w:r>
    </w:p>
  </w:endnote>
  <w:endnote w:type="continuationSeparator" w:id="0">
    <w:p w:rsidR="00E6716C" w:rsidRDefault="00E6716C" w:rsidP="008E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16C" w:rsidRDefault="00E6716C" w:rsidP="008E0747">
      <w:r>
        <w:separator/>
      </w:r>
    </w:p>
  </w:footnote>
  <w:footnote w:type="continuationSeparator" w:id="0">
    <w:p w:rsidR="00E6716C" w:rsidRDefault="00E6716C" w:rsidP="008E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F1A"/>
    <w:multiLevelType w:val="hybridMultilevel"/>
    <w:tmpl w:val="F800C53C"/>
    <w:lvl w:ilvl="0" w:tplc="93A4A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E87"/>
    <w:rsid w:val="0000077A"/>
    <w:rsid w:val="000028C1"/>
    <w:rsid w:val="000231B8"/>
    <w:rsid w:val="00032986"/>
    <w:rsid w:val="00037878"/>
    <w:rsid w:val="00046C37"/>
    <w:rsid w:val="00063E63"/>
    <w:rsid w:val="00066EB7"/>
    <w:rsid w:val="00071408"/>
    <w:rsid w:val="0007354E"/>
    <w:rsid w:val="00074730"/>
    <w:rsid w:val="00075CE1"/>
    <w:rsid w:val="00076A87"/>
    <w:rsid w:val="00081FDF"/>
    <w:rsid w:val="00083D97"/>
    <w:rsid w:val="0009160D"/>
    <w:rsid w:val="0009242A"/>
    <w:rsid w:val="000954D6"/>
    <w:rsid w:val="000B04CB"/>
    <w:rsid w:val="000B0865"/>
    <w:rsid w:val="000C5362"/>
    <w:rsid w:val="000D255E"/>
    <w:rsid w:val="000D3A02"/>
    <w:rsid w:val="000E0D17"/>
    <w:rsid w:val="000F0A29"/>
    <w:rsid w:val="000F369C"/>
    <w:rsid w:val="000F6177"/>
    <w:rsid w:val="00100926"/>
    <w:rsid w:val="00106CFD"/>
    <w:rsid w:val="00122D8A"/>
    <w:rsid w:val="001236FF"/>
    <w:rsid w:val="0013249F"/>
    <w:rsid w:val="001324E2"/>
    <w:rsid w:val="00136620"/>
    <w:rsid w:val="00142580"/>
    <w:rsid w:val="00153D76"/>
    <w:rsid w:val="0015460B"/>
    <w:rsid w:val="00157D31"/>
    <w:rsid w:val="001708C7"/>
    <w:rsid w:val="00173380"/>
    <w:rsid w:val="00176948"/>
    <w:rsid w:val="00184810"/>
    <w:rsid w:val="00193A50"/>
    <w:rsid w:val="00196A85"/>
    <w:rsid w:val="001A35E1"/>
    <w:rsid w:val="001B5554"/>
    <w:rsid w:val="001C569E"/>
    <w:rsid w:val="001E149C"/>
    <w:rsid w:val="001E5780"/>
    <w:rsid w:val="001F122A"/>
    <w:rsid w:val="001F3CCF"/>
    <w:rsid w:val="00202414"/>
    <w:rsid w:val="002073A0"/>
    <w:rsid w:val="00207D63"/>
    <w:rsid w:val="00214889"/>
    <w:rsid w:val="002203CF"/>
    <w:rsid w:val="002226EB"/>
    <w:rsid w:val="00226BD2"/>
    <w:rsid w:val="00233B75"/>
    <w:rsid w:val="002373DA"/>
    <w:rsid w:val="00242C47"/>
    <w:rsid w:val="00245E87"/>
    <w:rsid w:val="002575B1"/>
    <w:rsid w:val="00264BCB"/>
    <w:rsid w:val="00272545"/>
    <w:rsid w:val="00275567"/>
    <w:rsid w:val="00282D1A"/>
    <w:rsid w:val="00290725"/>
    <w:rsid w:val="00295A34"/>
    <w:rsid w:val="002A34DD"/>
    <w:rsid w:val="002B14F4"/>
    <w:rsid w:val="002B2482"/>
    <w:rsid w:val="002C36FE"/>
    <w:rsid w:val="002C6B36"/>
    <w:rsid w:val="002D0BDE"/>
    <w:rsid w:val="002D1BE2"/>
    <w:rsid w:val="002D3168"/>
    <w:rsid w:val="002E152C"/>
    <w:rsid w:val="002E19D1"/>
    <w:rsid w:val="002E38AF"/>
    <w:rsid w:val="002E5CFE"/>
    <w:rsid w:val="002F68E6"/>
    <w:rsid w:val="00303C33"/>
    <w:rsid w:val="003132B8"/>
    <w:rsid w:val="00320530"/>
    <w:rsid w:val="00322741"/>
    <w:rsid w:val="00325E54"/>
    <w:rsid w:val="00340DD0"/>
    <w:rsid w:val="003610F9"/>
    <w:rsid w:val="00365E8B"/>
    <w:rsid w:val="0038532D"/>
    <w:rsid w:val="003853A2"/>
    <w:rsid w:val="00397433"/>
    <w:rsid w:val="003C4CC7"/>
    <w:rsid w:val="003D2F01"/>
    <w:rsid w:val="003E58F5"/>
    <w:rsid w:val="00403BE0"/>
    <w:rsid w:val="00403EB5"/>
    <w:rsid w:val="00407095"/>
    <w:rsid w:val="00427B27"/>
    <w:rsid w:val="00427EB4"/>
    <w:rsid w:val="00433329"/>
    <w:rsid w:val="00443E3D"/>
    <w:rsid w:val="004440F3"/>
    <w:rsid w:val="00450EE3"/>
    <w:rsid w:val="00450F81"/>
    <w:rsid w:val="00462E1F"/>
    <w:rsid w:val="0046614D"/>
    <w:rsid w:val="004666D8"/>
    <w:rsid w:val="00471F5F"/>
    <w:rsid w:val="00472284"/>
    <w:rsid w:val="004735A0"/>
    <w:rsid w:val="00490FCF"/>
    <w:rsid w:val="00491740"/>
    <w:rsid w:val="004A1BEE"/>
    <w:rsid w:val="004A3607"/>
    <w:rsid w:val="004A5760"/>
    <w:rsid w:val="004B4D02"/>
    <w:rsid w:val="004B6905"/>
    <w:rsid w:val="004B70BC"/>
    <w:rsid w:val="004B7F44"/>
    <w:rsid w:val="004E0D80"/>
    <w:rsid w:val="004E1F27"/>
    <w:rsid w:val="004E29DB"/>
    <w:rsid w:val="004F4264"/>
    <w:rsid w:val="00511B9D"/>
    <w:rsid w:val="00511F39"/>
    <w:rsid w:val="0051366E"/>
    <w:rsid w:val="00520469"/>
    <w:rsid w:val="005219EB"/>
    <w:rsid w:val="00527F7E"/>
    <w:rsid w:val="005346F7"/>
    <w:rsid w:val="00536ADA"/>
    <w:rsid w:val="00536B9B"/>
    <w:rsid w:val="005449B2"/>
    <w:rsid w:val="00564374"/>
    <w:rsid w:val="00567027"/>
    <w:rsid w:val="0057152D"/>
    <w:rsid w:val="00575638"/>
    <w:rsid w:val="00582F0D"/>
    <w:rsid w:val="00584A62"/>
    <w:rsid w:val="0059480B"/>
    <w:rsid w:val="005C0437"/>
    <w:rsid w:val="005C2BBA"/>
    <w:rsid w:val="005D4249"/>
    <w:rsid w:val="005E2E91"/>
    <w:rsid w:val="005F053E"/>
    <w:rsid w:val="005F16B6"/>
    <w:rsid w:val="005F5E70"/>
    <w:rsid w:val="00607134"/>
    <w:rsid w:val="006154D8"/>
    <w:rsid w:val="006231BD"/>
    <w:rsid w:val="006360C7"/>
    <w:rsid w:val="0064025C"/>
    <w:rsid w:val="00643246"/>
    <w:rsid w:val="00644D5F"/>
    <w:rsid w:val="00657D63"/>
    <w:rsid w:val="006616D5"/>
    <w:rsid w:val="00672E1C"/>
    <w:rsid w:val="00686FF6"/>
    <w:rsid w:val="006954B7"/>
    <w:rsid w:val="006A6CB3"/>
    <w:rsid w:val="006C2F0F"/>
    <w:rsid w:val="006C695A"/>
    <w:rsid w:val="006D3CEF"/>
    <w:rsid w:val="006F4DA7"/>
    <w:rsid w:val="006F70C7"/>
    <w:rsid w:val="00700A83"/>
    <w:rsid w:val="00700CBE"/>
    <w:rsid w:val="007258AB"/>
    <w:rsid w:val="00727ED7"/>
    <w:rsid w:val="007335C0"/>
    <w:rsid w:val="00733856"/>
    <w:rsid w:val="00737402"/>
    <w:rsid w:val="0074297E"/>
    <w:rsid w:val="0074615D"/>
    <w:rsid w:val="0076255B"/>
    <w:rsid w:val="00784777"/>
    <w:rsid w:val="00792B0B"/>
    <w:rsid w:val="007B1F66"/>
    <w:rsid w:val="007B3804"/>
    <w:rsid w:val="007B3875"/>
    <w:rsid w:val="007D0398"/>
    <w:rsid w:val="007D2031"/>
    <w:rsid w:val="007D34D5"/>
    <w:rsid w:val="007D3DCD"/>
    <w:rsid w:val="007D50E6"/>
    <w:rsid w:val="007D5761"/>
    <w:rsid w:val="007F1172"/>
    <w:rsid w:val="007F1A58"/>
    <w:rsid w:val="00803309"/>
    <w:rsid w:val="00807EAD"/>
    <w:rsid w:val="008127F6"/>
    <w:rsid w:val="00814F59"/>
    <w:rsid w:val="0081697E"/>
    <w:rsid w:val="0082495C"/>
    <w:rsid w:val="00824C9C"/>
    <w:rsid w:val="0082593B"/>
    <w:rsid w:val="008339C6"/>
    <w:rsid w:val="00841A26"/>
    <w:rsid w:val="00842087"/>
    <w:rsid w:val="008446CB"/>
    <w:rsid w:val="00845EC0"/>
    <w:rsid w:val="00860A9F"/>
    <w:rsid w:val="008656A3"/>
    <w:rsid w:val="00865E65"/>
    <w:rsid w:val="00872ADE"/>
    <w:rsid w:val="008740FC"/>
    <w:rsid w:val="00880324"/>
    <w:rsid w:val="00880848"/>
    <w:rsid w:val="0088460E"/>
    <w:rsid w:val="008916F2"/>
    <w:rsid w:val="008951B2"/>
    <w:rsid w:val="00896BE0"/>
    <w:rsid w:val="008B724F"/>
    <w:rsid w:val="008B7E4A"/>
    <w:rsid w:val="008D26AF"/>
    <w:rsid w:val="008D5EC6"/>
    <w:rsid w:val="008D66D1"/>
    <w:rsid w:val="008E0747"/>
    <w:rsid w:val="008E639F"/>
    <w:rsid w:val="008F181F"/>
    <w:rsid w:val="008F478C"/>
    <w:rsid w:val="008F494E"/>
    <w:rsid w:val="0091010D"/>
    <w:rsid w:val="009149FE"/>
    <w:rsid w:val="00916874"/>
    <w:rsid w:val="00917DBF"/>
    <w:rsid w:val="0092626D"/>
    <w:rsid w:val="0094274A"/>
    <w:rsid w:val="0094548E"/>
    <w:rsid w:val="00953187"/>
    <w:rsid w:val="00964ABB"/>
    <w:rsid w:val="00967194"/>
    <w:rsid w:val="0099726B"/>
    <w:rsid w:val="009B2E75"/>
    <w:rsid w:val="009B65A8"/>
    <w:rsid w:val="009C34C1"/>
    <w:rsid w:val="009C3993"/>
    <w:rsid w:val="009D7526"/>
    <w:rsid w:val="009E3DE8"/>
    <w:rsid w:val="009F2D90"/>
    <w:rsid w:val="009F56BB"/>
    <w:rsid w:val="00A04FE7"/>
    <w:rsid w:val="00A04FF1"/>
    <w:rsid w:val="00A2374B"/>
    <w:rsid w:val="00A32A29"/>
    <w:rsid w:val="00A36B0B"/>
    <w:rsid w:val="00A47FDF"/>
    <w:rsid w:val="00A51925"/>
    <w:rsid w:val="00A52DE5"/>
    <w:rsid w:val="00A53706"/>
    <w:rsid w:val="00A54B11"/>
    <w:rsid w:val="00A66829"/>
    <w:rsid w:val="00A708EE"/>
    <w:rsid w:val="00A7264E"/>
    <w:rsid w:val="00A75096"/>
    <w:rsid w:val="00A759CF"/>
    <w:rsid w:val="00A84EF3"/>
    <w:rsid w:val="00A93372"/>
    <w:rsid w:val="00A93E8E"/>
    <w:rsid w:val="00AA0D28"/>
    <w:rsid w:val="00AA62B2"/>
    <w:rsid w:val="00AA78E7"/>
    <w:rsid w:val="00AB2906"/>
    <w:rsid w:val="00AB292D"/>
    <w:rsid w:val="00AB515C"/>
    <w:rsid w:val="00AC1147"/>
    <w:rsid w:val="00AC296A"/>
    <w:rsid w:val="00AC2E7E"/>
    <w:rsid w:val="00AC4397"/>
    <w:rsid w:val="00AD0009"/>
    <w:rsid w:val="00AE6B5A"/>
    <w:rsid w:val="00AF14A2"/>
    <w:rsid w:val="00AF3DA0"/>
    <w:rsid w:val="00B10D84"/>
    <w:rsid w:val="00B25EE1"/>
    <w:rsid w:val="00B33289"/>
    <w:rsid w:val="00B501E6"/>
    <w:rsid w:val="00B50811"/>
    <w:rsid w:val="00B55268"/>
    <w:rsid w:val="00B57C27"/>
    <w:rsid w:val="00B646F0"/>
    <w:rsid w:val="00B75269"/>
    <w:rsid w:val="00B8588C"/>
    <w:rsid w:val="00B90EB7"/>
    <w:rsid w:val="00BA341A"/>
    <w:rsid w:val="00BB44E4"/>
    <w:rsid w:val="00BC3B25"/>
    <w:rsid w:val="00BD2E74"/>
    <w:rsid w:val="00BE5E24"/>
    <w:rsid w:val="00BF210A"/>
    <w:rsid w:val="00BF27BE"/>
    <w:rsid w:val="00C118C8"/>
    <w:rsid w:val="00C23D27"/>
    <w:rsid w:val="00C27367"/>
    <w:rsid w:val="00C536B7"/>
    <w:rsid w:val="00C60C0F"/>
    <w:rsid w:val="00C62511"/>
    <w:rsid w:val="00C66B77"/>
    <w:rsid w:val="00C66F09"/>
    <w:rsid w:val="00C676C0"/>
    <w:rsid w:val="00C73992"/>
    <w:rsid w:val="00C81DE2"/>
    <w:rsid w:val="00C9339C"/>
    <w:rsid w:val="00CA3CF0"/>
    <w:rsid w:val="00CA676B"/>
    <w:rsid w:val="00CC2EF5"/>
    <w:rsid w:val="00CC363C"/>
    <w:rsid w:val="00CC6E82"/>
    <w:rsid w:val="00CD5F2D"/>
    <w:rsid w:val="00CE2B2D"/>
    <w:rsid w:val="00CF0FC1"/>
    <w:rsid w:val="00CF1FBF"/>
    <w:rsid w:val="00D05551"/>
    <w:rsid w:val="00D06EC3"/>
    <w:rsid w:val="00D102D1"/>
    <w:rsid w:val="00D148B8"/>
    <w:rsid w:val="00D15E56"/>
    <w:rsid w:val="00D21DA2"/>
    <w:rsid w:val="00D43742"/>
    <w:rsid w:val="00D614EB"/>
    <w:rsid w:val="00D750EB"/>
    <w:rsid w:val="00D7707F"/>
    <w:rsid w:val="00D81B2E"/>
    <w:rsid w:val="00D82D3C"/>
    <w:rsid w:val="00D872D0"/>
    <w:rsid w:val="00D92B9D"/>
    <w:rsid w:val="00DC50EB"/>
    <w:rsid w:val="00DC796B"/>
    <w:rsid w:val="00DD1D4A"/>
    <w:rsid w:val="00DD6F8D"/>
    <w:rsid w:val="00DE2A61"/>
    <w:rsid w:val="00DF6885"/>
    <w:rsid w:val="00E02AC1"/>
    <w:rsid w:val="00E043D4"/>
    <w:rsid w:val="00E07633"/>
    <w:rsid w:val="00E109DD"/>
    <w:rsid w:val="00E12634"/>
    <w:rsid w:val="00E152D0"/>
    <w:rsid w:val="00E177EC"/>
    <w:rsid w:val="00E226C4"/>
    <w:rsid w:val="00E25EA5"/>
    <w:rsid w:val="00E2639E"/>
    <w:rsid w:val="00E335EA"/>
    <w:rsid w:val="00E33EB9"/>
    <w:rsid w:val="00E34A32"/>
    <w:rsid w:val="00E37CA8"/>
    <w:rsid w:val="00E40695"/>
    <w:rsid w:val="00E50FBD"/>
    <w:rsid w:val="00E62BF6"/>
    <w:rsid w:val="00E66CC4"/>
    <w:rsid w:val="00E6716C"/>
    <w:rsid w:val="00E713F9"/>
    <w:rsid w:val="00E73C82"/>
    <w:rsid w:val="00E74E9E"/>
    <w:rsid w:val="00E77039"/>
    <w:rsid w:val="00E829DA"/>
    <w:rsid w:val="00E84EB3"/>
    <w:rsid w:val="00E93C71"/>
    <w:rsid w:val="00EA2643"/>
    <w:rsid w:val="00EA6E80"/>
    <w:rsid w:val="00EB3BC7"/>
    <w:rsid w:val="00EC1EE2"/>
    <w:rsid w:val="00ED331A"/>
    <w:rsid w:val="00EE3FA0"/>
    <w:rsid w:val="00F076B0"/>
    <w:rsid w:val="00F26D7A"/>
    <w:rsid w:val="00F447DA"/>
    <w:rsid w:val="00F54651"/>
    <w:rsid w:val="00F7188F"/>
    <w:rsid w:val="00F776F9"/>
    <w:rsid w:val="00F828F9"/>
    <w:rsid w:val="00F848F8"/>
    <w:rsid w:val="00F876E6"/>
    <w:rsid w:val="00F91FB5"/>
    <w:rsid w:val="00FA15F6"/>
    <w:rsid w:val="00FB7AD5"/>
    <w:rsid w:val="00FC7580"/>
    <w:rsid w:val="00FD2F87"/>
    <w:rsid w:val="00FE598A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9971B"/>
  <w15:docId w15:val="{D50B4030-2546-412C-A2B8-ED4E740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59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E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0437"/>
    <w:rPr>
      <w:sz w:val="18"/>
      <w:szCs w:val="18"/>
    </w:rPr>
  </w:style>
  <w:style w:type="paragraph" w:styleId="a5">
    <w:name w:val="header"/>
    <w:basedOn w:val="a"/>
    <w:link w:val="a6"/>
    <w:rsid w:val="008E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8E0747"/>
    <w:rPr>
      <w:kern w:val="2"/>
      <w:sz w:val="18"/>
      <w:szCs w:val="18"/>
    </w:rPr>
  </w:style>
  <w:style w:type="paragraph" w:styleId="a7">
    <w:name w:val="footer"/>
    <w:basedOn w:val="a"/>
    <w:link w:val="a8"/>
    <w:rsid w:val="008E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8E07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9146-E630-4F97-A820-55586559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810</Characters>
  <Application>Microsoft Office Word</Application>
  <DocSecurity>0</DocSecurity>
  <Lines>6</Lines>
  <Paragraphs>1</Paragraphs>
  <ScaleCrop>false</ScaleCrop>
  <Company>MC SYSTEM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上港集团罗泾分公司出口货物及费用确认书</dc:title>
  <dc:creator>微软用户</dc:creator>
  <cp:lastModifiedBy>戚嘉栋</cp:lastModifiedBy>
  <cp:revision>6</cp:revision>
  <cp:lastPrinted>2020-03-23T01:26:00Z</cp:lastPrinted>
  <dcterms:created xsi:type="dcterms:W3CDTF">2021-03-08T05:19:00Z</dcterms:created>
  <dcterms:modified xsi:type="dcterms:W3CDTF">2022-02-10T00:33:00Z</dcterms:modified>
</cp:coreProperties>
</file>